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81" w:rsidRDefault="00A36181" w:rsidP="00A36181">
      <w:pPr>
        <w:pStyle w:val="rvps2"/>
        <w:shd w:val="clear" w:color="auto" w:fill="FFFFFF"/>
        <w:spacing w:before="0" w:beforeAutospacing="0" w:after="150" w:afterAutospacing="0"/>
        <w:jc w:val="center"/>
        <w:rPr>
          <w:b/>
          <w:color w:val="000000" w:themeColor="text1"/>
          <w:sz w:val="28"/>
          <w:szCs w:val="28"/>
        </w:rPr>
      </w:pPr>
      <w:r>
        <w:rPr>
          <w:b/>
          <w:color w:val="000000" w:themeColor="text1"/>
          <w:sz w:val="28"/>
          <w:szCs w:val="28"/>
        </w:rPr>
        <w:t>Визначення термінів</w:t>
      </w:r>
    </w:p>
    <w:p w:rsidR="003F7D5F" w:rsidRPr="00A36181" w:rsidRDefault="003F7D5F" w:rsidP="00E92A4D">
      <w:pPr>
        <w:pStyle w:val="rvps2"/>
        <w:shd w:val="clear" w:color="auto" w:fill="FFFFFF"/>
        <w:spacing w:before="120" w:beforeAutospacing="0" w:after="0" w:afterAutospacing="0"/>
        <w:ind w:firstLine="709"/>
        <w:jc w:val="both"/>
        <w:rPr>
          <w:color w:val="000000" w:themeColor="text1"/>
          <w:sz w:val="28"/>
          <w:szCs w:val="28"/>
        </w:rPr>
      </w:pPr>
      <w:r w:rsidRPr="00A36181">
        <w:rPr>
          <w:b/>
          <w:color w:val="000000" w:themeColor="text1"/>
          <w:sz w:val="28"/>
          <w:szCs w:val="28"/>
        </w:rPr>
        <w:t>Електронн</w:t>
      </w:r>
      <w:r w:rsidR="0025364D" w:rsidRPr="00A36181">
        <w:rPr>
          <w:b/>
          <w:color w:val="000000" w:themeColor="text1"/>
          <w:sz w:val="28"/>
          <w:szCs w:val="28"/>
        </w:rPr>
        <w:t>ий</w:t>
      </w:r>
      <w:r w:rsidRPr="00A36181">
        <w:rPr>
          <w:b/>
          <w:color w:val="000000" w:themeColor="text1"/>
          <w:sz w:val="28"/>
          <w:szCs w:val="28"/>
        </w:rPr>
        <w:t xml:space="preserve"> реєстр листків непрацездатності</w:t>
      </w:r>
      <w:r w:rsidRPr="00A36181">
        <w:rPr>
          <w:color w:val="000000" w:themeColor="text1"/>
          <w:sz w:val="28"/>
          <w:szCs w:val="28"/>
        </w:rPr>
        <w:t xml:space="preserve"> </w:t>
      </w:r>
      <w:bookmarkStart w:id="0" w:name="n135"/>
      <w:bookmarkEnd w:id="0"/>
      <w:r w:rsidR="0025364D" w:rsidRPr="00A36181">
        <w:rPr>
          <w:color w:val="000000" w:themeColor="text1"/>
          <w:sz w:val="28"/>
          <w:szCs w:val="28"/>
        </w:rPr>
        <w:t>– це р</w:t>
      </w:r>
      <w:r w:rsidRPr="00A36181">
        <w:rPr>
          <w:color w:val="000000" w:themeColor="text1"/>
          <w:sz w:val="28"/>
          <w:szCs w:val="28"/>
        </w:rPr>
        <w:t>еєстр</w:t>
      </w:r>
      <w:r w:rsidR="0025364D" w:rsidRPr="00A36181">
        <w:rPr>
          <w:color w:val="000000" w:themeColor="text1"/>
          <w:sz w:val="28"/>
          <w:szCs w:val="28"/>
        </w:rPr>
        <w:t>, який</w:t>
      </w:r>
      <w:r w:rsidRPr="00A36181">
        <w:rPr>
          <w:color w:val="000000" w:themeColor="text1"/>
          <w:sz w:val="28"/>
          <w:szCs w:val="28"/>
        </w:rPr>
        <w:t xml:space="preserve"> ведеться з метою забезпечення накопичення, зберігання, обліку та використання інформації про сформовані (видані), продовжені листки непрацездатності для реалізації прав застрахованих осіб на отримання допомоги по тимчасовій непрацездатності, по вагітності та пологах, оплату перших п’яти днів тимчасової непрацездатності, що здійснюється за рахунок коштів роботодавця, а також для проведення перевірки обґрунтованості видачі та продовження листків непрацездатності.</w:t>
      </w:r>
    </w:p>
    <w:p w:rsidR="0025364D" w:rsidRPr="00A36181" w:rsidRDefault="0025364D" w:rsidP="00E92A4D">
      <w:pPr>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36181">
        <w:rPr>
          <w:rFonts w:ascii="Times New Roman" w:hAnsi="Times New Roman" w:cs="Times New Roman"/>
          <w:b/>
          <w:color w:val="000000" w:themeColor="text1"/>
          <w:sz w:val="28"/>
          <w:szCs w:val="28"/>
          <w:shd w:val="clear" w:color="auto" w:fill="FFFFFF"/>
        </w:rPr>
        <w:t>Медичний висновок про тимчасову непрацездатність</w:t>
      </w:r>
      <w:r w:rsidRPr="00A36181">
        <w:rPr>
          <w:rFonts w:ascii="Times New Roman" w:hAnsi="Times New Roman" w:cs="Times New Roman"/>
          <w:color w:val="000000" w:themeColor="text1"/>
          <w:sz w:val="28"/>
          <w:szCs w:val="28"/>
          <w:shd w:val="clear" w:color="auto" w:fill="FFFFFF"/>
        </w:rPr>
        <w:t xml:space="preserve"> (далі - медичний висновок) - електронний документ, що формується на підставі медичних записів в електронній системі охорони здоров’я та містить висновок лікаря за результатами медичної експертизи з тимчасової втрати працездатності, що засвідчує тимчасову непрацездатність та є підставою для створення листка непрацездатності.</w:t>
      </w:r>
    </w:p>
    <w:p w:rsidR="0025364D" w:rsidRPr="00A36181" w:rsidRDefault="0025364D" w:rsidP="00E92A4D">
      <w:pPr>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36181">
        <w:rPr>
          <w:rFonts w:ascii="Times New Roman" w:hAnsi="Times New Roman" w:cs="Times New Roman"/>
          <w:b/>
          <w:color w:val="000000" w:themeColor="text1"/>
          <w:sz w:val="28"/>
          <w:szCs w:val="28"/>
          <w:shd w:val="clear" w:color="auto" w:fill="FFFFFF"/>
        </w:rPr>
        <w:t>Період дії медичного висновку</w:t>
      </w:r>
      <w:r w:rsidRPr="00A36181">
        <w:rPr>
          <w:rFonts w:ascii="Times New Roman" w:hAnsi="Times New Roman" w:cs="Times New Roman"/>
          <w:color w:val="000000" w:themeColor="text1"/>
          <w:sz w:val="28"/>
          <w:szCs w:val="28"/>
          <w:shd w:val="clear" w:color="auto" w:fill="FFFFFF"/>
        </w:rPr>
        <w:t xml:space="preserve"> - дата початку періоду дії, дата завершення періоду дії.</w:t>
      </w:r>
    </w:p>
    <w:p w:rsidR="00E92A4D" w:rsidRDefault="0025364D" w:rsidP="00E92A4D">
      <w:pPr>
        <w:pStyle w:val="a3"/>
        <w:spacing w:before="120" w:beforeAutospacing="0" w:after="0" w:afterAutospacing="0"/>
        <w:ind w:firstLine="709"/>
        <w:jc w:val="both"/>
        <w:rPr>
          <w:color w:val="000000"/>
          <w:sz w:val="28"/>
          <w:szCs w:val="28"/>
        </w:rPr>
      </w:pPr>
      <w:r w:rsidRPr="00A36181">
        <w:rPr>
          <w:b/>
          <w:color w:val="000000"/>
          <w:sz w:val="28"/>
          <w:szCs w:val="28"/>
        </w:rPr>
        <w:t>Категорія медичного висновку</w:t>
      </w:r>
      <w:r w:rsidRPr="00A36181">
        <w:rPr>
          <w:color w:val="000000"/>
          <w:sz w:val="28"/>
          <w:szCs w:val="28"/>
        </w:rPr>
        <w:t xml:space="preserve"> – складова медичного висновку, що використовується з метою їхньої класифікації відповідно до встановленого захворювання, травми тощо, для визначення особливостей процесу формування таких медичних висновків, а також є підставою для визначення причини непрацездатності застрахованої особи в Електронному реєстрі листків непрацездатності. </w:t>
      </w:r>
    </w:p>
    <w:p w:rsidR="0025364D" w:rsidRPr="00A36181" w:rsidRDefault="0025364D" w:rsidP="00E92A4D">
      <w:pPr>
        <w:pStyle w:val="a3"/>
        <w:spacing w:before="120" w:beforeAutospacing="0" w:after="0" w:afterAutospacing="0"/>
        <w:ind w:firstLine="709"/>
        <w:jc w:val="both"/>
        <w:rPr>
          <w:i/>
          <w:color w:val="000000"/>
          <w:sz w:val="28"/>
          <w:szCs w:val="28"/>
        </w:rPr>
      </w:pPr>
      <w:r w:rsidRPr="00A36181">
        <w:rPr>
          <w:i/>
          <w:color w:val="000000"/>
          <w:sz w:val="28"/>
          <w:szCs w:val="28"/>
        </w:rPr>
        <w:t>Категорії медичних висновків бувають:</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«Захворювання або травма загального характеру»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«Догляд за хворою дитиною»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«Догляд за хворим членом сім’ї»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«Догляд за дитиною у разі хвороби особи, яка доглядає за дитиною»</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«Карантин»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«Обсервація, самоізоляція під час дії карантину з метою запобігання поширенню гострої респіраторної хвороби COVID-19, спричиненої </w:t>
      </w:r>
      <w:proofErr w:type="spellStart"/>
      <w:r w:rsidRPr="00A36181">
        <w:rPr>
          <w:i/>
          <w:color w:val="000000"/>
          <w:sz w:val="28"/>
          <w:szCs w:val="28"/>
        </w:rPr>
        <w:t>коронавірусом</w:t>
      </w:r>
      <w:proofErr w:type="spellEnd"/>
      <w:r w:rsidRPr="00A36181">
        <w:rPr>
          <w:i/>
          <w:color w:val="000000"/>
          <w:sz w:val="28"/>
          <w:szCs w:val="28"/>
        </w:rPr>
        <w:t xml:space="preserve"> SARS-CoV-2»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«Переведення особи на легшу роботу»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«Лікування в санаторно-курортному закладі»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«Ортопедичне протезування» </w:t>
      </w:r>
    </w:p>
    <w:p w:rsidR="0025364D" w:rsidRPr="00A36181" w:rsidRDefault="0025364D" w:rsidP="00C254AE">
      <w:pPr>
        <w:pStyle w:val="a3"/>
        <w:spacing w:before="0" w:beforeAutospacing="0" w:after="0" w:afterAutospacing="0"/>
        <w:ind w:left="851"/>
        <w:jc w:val="both"/>
        <w:rPr>
          <w:i/>
          <w:sz w:val="28"/>
          <w:szCs w:val="28"/>
        </w:rPr>
      </w:pPr>
      <w:r w:rsidRPr="00A36181">
        <w:rPr>
          <w:i/>
          <w:color w:val="000000"/>
          <w:sz w:val="28"/>
          <w:szCs w:val="28"/>
        </w:rPr>
        <w:t>«Вагітність та пологи»</w:t>
      </w:r>
    </w:p>
    <w:p w:rsidR="0025364D" w:rsidRPr="00A36181" w:rsidRDefault="0025364D" w:rsidP="00E92A4D">
      <w:pPr>
        <w:pStyle w:val="a3"/>
        <w:spacing w:before="120" w:beforeAutospacing="0" w:after="0" w:afterAutospacing="0"/>
        <w:ind w:firstLine="709"/>
        <w:jc w:val="both"/>
        <w:rPr>
          <w:color w:val="000000" w:themeColor="text1"/>
          <w:sz w:val="28"/>
          <w:szCs w:val="28"/>
        </w:rPr>
      </w:pPr>
      <w:r w:rsidRPr="00A36181">
        <w:rPr>
          <w:b/>
          <w:color w:val="000000" w:themeColor="text1"/>
          <w:sz w:val="28"/>
          <w:szCs w:val="28"/>
          <w:shd w:val="clear" w:color="auto" w:fill="FFFFFF"/>
        </w:rPr>
        <w:t>Випадок тимчасової непрацездатності відповідно до медичних висновків</w:t>
      </w:r>
      <w:r w:rsidRPr="00A36181">
        <w:rPr>
          <w:color w:val="000000" w:themeColor="text1"/>
          <w:sz w:val="28"/>
          <w:szCs w:val="28"/>
          <w:shd w:val="clear" w:color="auto" w:fill="FFFFFF"/>
        </w:rPr>
        <w:t xml:space="preserve"> (далі – випадок тимчасової непрацездатності) – тимчасова непрацездатність, що підтверджується формуванням одного або сукупністю декількох медичних висновків, пов’язаних між собою через посилання на запис в Реєстрі про попередній медичний висновок в межах однієї категорії медичних висновків, та триває безперервно від початку визначеного захворювання, травми або інших причин з можливим продовженням в одного або послідовно в декількох суб’єктів господарювання до завершення дії останнього медичного </w:t>
      </w:r>
      <w:r w:rsidRPr="00A36181">
        <w:rPr>
          <w:color w:val="000000" w:themeColor="text1"/>
          <w:sz w:val="28"/>
          <w:szCs w:val="28"/>
          <w:shd w:val="clear" w:color="auto" w:fill="FFFFFF"/>
        </w:rPr>
        <w:lastRenderedPageBreak/>
        <w:t>висновку або до початку нового медичного висновку з відміткою про початок нового випадку тимчасової непрацездатності в межах такої ж категорії, що формується з приводу нового захворювання, травми або інших причин, які не пов’язані та не є наслідками попереднього.</w:t>
      </w:r>
    </w:p>
    <w:p w:rsidR="0025364D" w:rsidRPr="00A36181" w:rsidRDefault="0025364D" w:rsidP="00E92A4D">
      <w:pPr>
        <w:pStyle w:val="a3"/>
        <w:spacing w:before="120" w:beforeAutospacing="0" w:after="0" w:afterAutospacing="0"/>
        <w:ind w:firstLine="709"/>
        <w:jc w:val="both"/>
        <w:rPr>
          <w:color w:val="000000" w:themeColor="text1"/>
          <w:sz w:val="28"/>
          <w:szCs w:val="28"/>
        </w:rPr>
      </w:pPr>
      <w:r w:rsidRPr="00A36181">
        <w:rPr>
          <w:b/>
          <w:color w:val="000000" w:themeColor="text1"/>
          <w:sz w:val="28"/>
          <w:szCs w:val="28"/>
        </w:rPr>
        <w:t>Тимчасова непрацездатність особи відповідно до медичного висновку</w:t>
      </w:r>
      <w:r w:rsidRPr="00A36181">
        <w:rPr>
          <w:color w:val="000000" w:themeColor="text1"/>
          <w:sz w:val="28"/>
          <w:szCs w:val="28"/>
        </w:rPr>
        <w:t xml:space="preserve"> (далі – тимчасова непрацездатність) – це непрацездатність особи внаслідок захворювання, травми або інших причин (вагітність та пологи, карантин тощо), яка має тимчасовий зворотний характер під впливом лікування, реабілітації, інших заходів медичного характеру, та триває до відновлення працездатності або до закінчення причин, які унеможливлюють виконання роботи. Тимчасова непрацездатність обраховується в календарних днях.</w:t>
      </w:r>
    </w:p>
    <w:p w:rsidR="00CE54E0" w:rsidRPr="00A36181" w:rsidRDefault="0025364D" w:rsidP="00E92A4D">
      <w:pPr>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36181">
        <w:rPr>
          <w:rFonts w:ascii="Times New Roman" w:hAnsi="Times New Roman" w:cs="Times New Roman"/>
          <w:b/>
          <w:color w:val="000000" w:themeColor="text1"/>
          <w:sz w:val="28"/>
          <w:szCs w:val="28"/>
          <w:shd w:val="clear" w:color="auto" w:fill="FFFFFF"/>
        </w:rPr>
        <w:t>Л</w:t>
      </w:r>
      <w:r w:rsidR="003F7D5F" w:rsidRPr="00A36181">
        <w:rPr>
          <w:rFonts w:ascii="Times New Roman" w:hAnsi="Times New Roman" w:cs="Times New Roman"/>
          <w:b/>
          <w:color w:val="000000" w:themeColor="text1"/>
          <w:sz w:val="28"/>
          <w:szCs w:val="28"/>
          <w:shd w:val="clear" w:color="auto" w:fill="FFFFFF"/>
        </w:rPr>
        <w:t>исток непрацездатності</w:t>
      </w:r>
      <w:r w:rsidR="003F7D5F" w:rsidRPr="00A36181">
        <w:rPr>
          <w:rFonts w:ascii="Times New Roman" w:hAnsi="Times New Roman" w:cs="Times New Roman"/>
          <w:color w:val="000000" w:themeColor="text1"/>
          <w:sz w:val="28"/>
          <w:szCs w:val="28"/>
          <w:shd w:val="clear" w:color="auto" w:fill="FFFFFF"/>
        </w:rPr>
        <w:t xml:space="preserve"> - сформований (виданий) програмними засобами Реєстру на підставі медичного висновку про тимчасову непрацездатність або документа, що засвідчує факт усиновлення дитини, і зареєстрований за єдиним реєстраційним номером листка непрацездатності у Реєстрі електронний документ, що є підставою для звільнення від роботи, оплати перших п’яти днів тимчасової непрацездатності, призначення матеріального забезпечення та надання соціальних послуг відповідно до законодавства про загальнообов’язкове державне соціальне стр</w:t>
      </w:r>
      <w:r w:rsidR="007C2278">
        <w:rPr>
          <w:rFonts w:ascii="Times New Roman" w:hAnsi="Times New Roman" w:cs="Times New Roman"/>
          <w:color w:val="000000" w:themeColor="text1"/>
          <w:sz w:val="28"/>
          <w:szCs w:val="28"/>
          <w:shd w:val="clear" w:color="auto" w:fill="FFFFFF"/>
        </w:rPr>
        <w:t>ахування.</w:t>
      </w:r>
    </w:p>
    <w:p w:rsidR="00F4353F" w:rsidRPr="00A36181" w:rsidRDefault="00F4353F" w:rsidP="00E92A4D">
      <w:pPr>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36181">
        <w:rPr>
          <w:rFonts w:ascii="Times New Roman" w:hAnsi="Times New Roman" w:cs="Times New Roman"/>
          <w:b/>
          <w:color w:val="000000" w:themeColor="text1"/>
          <w:sz w:val="28"/>
          <w:szCs w:val="28"/>
          <w:shd w:val="clear" w:color="auto" w:fill="FFFFFF"/>
        </w:rPr>
        <w:t>Дати початку та закінчення листка непрацездатності</w:t>
      </w:r>
      <w:r w:rsidRPr="00A36181">
        <w:rPr>
          <w:rFonts w:ascii="Times New Roman" w:hAnsi="Times New Roman" w:cs="Times New Roman"/>
          <w:color w:val="000000" w:themeColor="text1"/>
          <w:sz w:val="28"/>
          <w:szCs w:val="28"/>
          <w:shd w:val="clear" w:color="auto" w:fill="FFFFFF"/>
        </w:rPr>
        <w:t xml:space="preserve"> відповідають датам початку та закінчення дії медичного висновку, на підставі якого сформований цей листок непрацездатності</w:t>
      </w:r>
      <w:r w:rsidR="007C2278">
        <w:rPr>
          <w:rFonts w:ascii="Times New Roman" w:hAnsi="Times New Roman" w:cs="Times New Roman"/>
          <w:color w:val="000000" w:themeColor="text1"/>
          <w:sz w:val="28"/>
          <w:szCs w:val="28"/>
          <w:shd w:val="clear" w:color="auto" w:fill="FFFFFF"/>
        </w:rPr>
        <w:t>.</w:t>
      </w:r>
    </w:p>
    <w:p w:rsidR="003F7D5F" w:rsidRPr="00A36181" w:rsidRDefault="0025364D" w:rsidP="00E92A4D">
      <w:pPr>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36181">
        <w:rPr>
          <w:rFonts w:ascii="Times New Roman" w:hAnsi="Times New Roman" w:cs="Times New Roman"/>
          <w:b/>
          <w:color w:val="000000" w:themeColor="text1"/>
          <w:sz w:val="28"/>
          <w:szCs w:val="28"/>
          <w:shd w:val="clear" w:color="auto" w:fill="FFFFFF"/>
        </w:rPr>
        <w:t>Є</w:t>
      </w:r>
      <w:r w:rsidR="003F7D5F" w:rsidRPr="00A36181">
        <w:rPr>
          <w:rFonts w:ascii="Times New Roman" w:hAnsi="Times New Roman" w:cs="Times New Roman"/>
          <w:b/>
          <w:color w:val="000000" w:themeColor="text1"/>
          <w:sz w:val="28"/>
          <w:szCs w:val="28"/>
          <w:shd w:val="clear" w:color="auto" w:fill="FFFFFF"/>
        </w:rPr>
        <w:t>диний реєстраційний номер листка непрацездатності</w:t>
      </w:r>
      <w:r w:rsidR="003F7D5F" w:rsidRPr="00A36181">
        <w:rPr>
          <w:rFonts w:ascii="Times New Roman" w:hAnsi="Times New Roman" w:cs="Times New Roman"/>
          <w:color w:val="000000" w:themeColor="text1"/>
          <w:sz w:val="28"/>
          <w:szCs w:val="28"/>
          <w:shd w:val="clear" w:color="auto" w:fill="FFFFFF"/>
        </w:rPr>
        <w:t xml:space="preserve"> - унікальний номер, який формується та присвоюється автоматично за допомогою програмних засобів ведення Реєстру, складається з цифр, що утворюють числа натурального ряду, шляхом додавання одиниці до останнього наявного номера, та за яким може бути ідентифіковано випадок тимчасової непрацездатності та всі пов’</w:t>
      </w:r>
      <w:r w:rsidR="007C2278">
        <w:rPr>
          <w:rFonts w:ascii="Times New Roman" w:hAnsi="Times New Roman" w:cs="Times New Roman"/>
          <w:color w:val="000000" w:themeColor="text1"/>
          <w:sz w:val="28"/>
          <w:szCs w:val="28"/>
          <w:shd w:val="clear" w:color="auto" w:fill="FFFFFF"/>
        </w:rPr>
        <w:t>язані з ним документи в реєстрі.</w:t>
      </w:r>
    </w:p>
    <w:p w:rsidR="007C2278" w:rsidRDefault="0025364D" w:rsidP="00E92A4D">
      <w:pPr>
        <w:spacing w:before="120" w:after="0" w:line="240" w:lineRule="auto"/>
        <w:ind w:firstLine="709"/>
        <w:jc w:val="both"/>
        <w:rPr>
          <w:color w:val="000000"/>
          <w:sz w:val="28"/>
          <w:szCs w:val="28"/>
        </w:rPr>
      </w:pPr>
      <w:r w:rsidRPr="00A36181">
        <w:rPr>
          <w:rFonts w:ascii="Times New Roman" w:hAnsi="Times New Roman" w:cs="Times New Roman"/>
          <w:b/>
          <w:color w:val="000000" w:themeColor="text1"/>
          <w:sz w:val="28"/>
          <w:szCs w:val="28"/>
          <w:shd w:val="clear" w:color="auto" w:fill="FFFFFF"/>
        </w:rPr>
        <w:t>П</w:t>
      </w:r>
      <w:r w:rsidR="003F7D5F" w:rsidRPr="00A36181">
        <w:rPr>
          <w:rFonts w:ascii="Times New Roman" w:hAnsi="Times New Roman" w:cs="Times New Roman"/>
          <w:b/>
          <w:color w:val="000000" w:themeColor="text1"/>
          <w:sz w:val="28"/>
          <w:szCs w:val="28"/>
          <w:shd w:val="clear" w:color="auto" w:fill="FFFFFF"/>
        </w:rPr>
        <w:t>ричина непрацездатності</w:t>
      </w:r>
      <w:r w:rsidR="003F7D5F" w:rsidRPr="00A36181">
        <w:rPr>
          <w:rFonts w:ascii="Times New Roman" w:hAnsi="Times New Roman" w:cs="Times New Roman"/>
          <w:color w:val="000000" w:themeColor="text1"/>
          <w:sz w:val="28"/>
          <w:szCs w:val="28"/>
          <w:shd w:val="clear" w:color="auto" w:fill="FFFFFF"/>
        </w:rPr>
        <w:t xml:space="preserve"> - відомості щодо страхового випадку, настання якого зумовило тимчасову непрацездатність, які містяться в записі про тимчасову непрацездатність</w:t>
      </w:r>
      <w:r w:rsidR="00C254AE" w:rsidRPr="00A36181">
        <w:rPr>
          <w:rFonts w:ascii="Times New Roman" w:hAnsi="Times New Roman" w:cs="Times New Roman"/>
          <w:color w:val="000000" w:themeColor="text1"/>
          <w:sz w:val="28"/>
          <w:szCs w:val="28"/>
          <w:shd w:val="clear" w:color="auto" w:fill="FFFFFF"/>
        </w:rPr>
        <w:t>. Визначення причини тимчасової непрацездатності відбувається в Електронному реєстрі листків непрацездатності на підставі категорії медичного висновку.</w:t>
      </w:r>
      <w:r w:rsidR="00C254AE" w:rsidRPr="00A36181">
        <w:rPr>
          <w:color w:val="000000"/>
          <w:sz w:val="28"/>
          <w:szCs w:val="28"/>
        </w:rPr>
        <w:t xml:space="preserve"> </w:t>
      </w:r>
    </w:p>
    <w:p w:rsidR="003F7D5F" w:rsidRPr="00A36181" w:rsidRDefault="00C254AE" w:rsidP="00E92A4D">
      <w:pPr>
        <w:spacing w:before="120" w:after="0" w:line="240" w:lineRule="auto"/>
        <w:ind w:firstLine="709"/>
        <w:jc w:val="both"/>
        <w:rPr>
          <w:rFonts w:ascii="Times New Roman" w:hAnsi="Times New Roman" w:cs="Times New Roman"/>
          <w:i/>
          <w:color w:val="000000"/>
          <w:sz w:val="28"/>
          <w:szCs w:val="28"/>
        </w:rPr>
      </w:pPr>
      <w:r w:rsidRPr="00A36181">
        <w:rPr>
          <w:rFonts w:ascii="Times New Roman" w:hAnsi="Times New Roman" w:cs="Times New Roman"/>
          <w:i/>
          <w:color w:val="000000"/>
          <w:sz w:val="28"/>
          <w:szCs w:val="28"/>
        </w:rPr>
        <w:t>Причини непрацездатності бувають:</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Тимчасова непрацездатність внаслідок захворювання або травми, що не пов’язані з нещасним випадком на виробництві»</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 xml:space="preserve">Вагітність і пологи» </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 xml:space="preserve">Необхідність догляду за хворою дитиною» </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Необхідність догляду за хворим членом сім’ї»</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Необхідність догляду за дитиною віком до трьох років або дитиною з інвалідністю віком до 18 років у разі хвороби матері або іншої особи, яка доглядає за такою дитиною»</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Карантин, встановлений відповідно до законодавства»</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w:t>
      </w:r>
      <w:r w:rsidR="00FA0C84" w:rsidRPr="00FA0C84">
        <w:rPr>
          <w:rFonts w:ascii="Times New Roman" w:hAnsi="Times New Roman" w:cs="Times New Roman"/>
          <w:i/>
          <w:color w:val="000000"/>
          <w:sz w:val="28"/>
          <w:szCs w:val="28"/>
        </w:rPr>
        <w:t xml:space="preserve">Протезування з поміщенням у стаціонар протезно-ортопедичного підприємства» </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Перебування у відділенні санаторно-курортного закладу»</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 xml:space="preserve">Тимчасове переведення застрахованої особи відповідно до медичного висновку на легшу, </w:t>
      </w:r>
      <w:proofErr w:type="spellStart"/>
      <w:r w:rsidR="00FA0C84" w:rsidRPr="00FA0C84">
        <w:rPr>
          <w:rFonts w:ascii="Times New Roman" w:hAnsi="Times New Roman" w:cs="Times New Roman"/>
          <w:i/>
          <w:color w:val="000000"/>
          <w:sz w:val="28"/>
          <w:szCs w:val="28"/>
        </w:rPr>
        <w:t>нижчеоплачувану</w:t>
      </w:r>
      <w:proofErr w:type="spellEnd"/>
      <w:r w:rsidR="00FA0C84" w:rsidRPr="00FA0C84">
        <w:rPr>
          <w:rFonts w:ascii="Times New Roman" w:hAnsi="Times New Roman" w:cs="Times New Roman"/>
          <w:i/>
          <w:color w:val="000000"/>
          <w:sz w:val="28"/>
          <w:szCs w:val="28"/>
        </w:rPr>
        <w:t xml:space="preserve"> роботу» (може бути із позначкою про зв’язок випадку тимчасової непрацездатності з професійною діяльністю пацієнта)</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 xml:space="preserve">Перебування в самоізоляції, обсервації під час дії карантину, встановленого Кабінетом Міністрів України з метою запобігання поширенню гострої респіраторної хвороби COVID-19, спричиненої </w:t>
      </w:r>
      <w:proofErr w:type="spellStart"/>
      <w:r w:rsidR="00FA0C84" w:rsidRPr="00FA0C84">
        <w:rPr>
          <w:rFonts w:ascii="Times New Roman" w:hAnsi="Times New Roman" w:cs="Times New Roman"/>
          <w:i/>
          <w:color w:val="000000"/>
          <w:sz w:val="28"/>
          <w:szCs w:val="28"/>
        </w:rPr>
        <w:t>коронавірусом</w:t>
      </w:r>
      <w:proofErr w:type="spellEnd"/>
      <w:r w:rsidR="00FA0C84" w:rsidRPr="00FA0C84">
        <w:rPr>
          <w:rFonts w:ascii="Times New Roman" w:hAnsi="Times New Roman" w:cs="Times New Roman"/>
          <w:i/>
          <w:color w:val="000000"/>
          <w:sz w:val="28"/>
          <w:szCs w:val="28"/>
        </w:rPr>
        <w:t xml:space="preserve"> SARS-СoV-2»</w:t>
      </w:r>
    </w:p>
    <w:p w:rsidR="00FA0C84" w:rsidRPr="00FA0C84" w:rsidRDefault="00FA0C84" w:rsidP="00FA0C84">
      <w:pPr>
        <w:spacing w:after="0" w:line="276" w:lineRule="auto"/>
        <w:ind w:left="567"/>
        <w:rPr>
          <w:rFonts w:ascii="Times New Roman" w:hAnsi="Times New Roman" w:cs="Times New Roman"/>
          <w:i/>
          <w:color w:val="000000"/>
          <w:sz w:val="28"/>
          <w:szCs w:val="28"/>
        </w:rPr>
      </w:pPr>
    </w:p>
    <w:p w:rsidR="00FA0C84" w:rsidRPr="00FA0C84" w:rsidRDefault="00FA0C84" w:rsidP="00FA0C84">
      <w:pPr>
        <w:tabs>
          <w:tab w:val="left" w:pos="142"/>
        </w:tabs>
        <w:spacing w:after="0" w:line="240" w:lineRule="auto"/>
        <w:ind w:firstLine="709"/>
        <w:jc w:val="both"/>
        <w:rPr>
          <w:rFonts w:ascii="Times New Roman" w:hAnsi="Times New Roman"/>
          <w:sz w:val="28"/>
          <w:szCs w:val="28"/>
        </w:rPr>
      </w:pPr>
      <w:r w:rsidRPr="00FA0C84">
        <w:rPr>
          <w:rFonts w:ascii="Times New Roman" w:hAnsi="Times New Roman" w:cs="Times New Roman"/>
          <w:i/>
          <w:color w:val="000000"/>
          <w:sz w:val="28"/>
          <w:szCs w:val="28"/>
        </w:rPr>
        <w:t>У разі наявності у медичному висновку відмітки про зв’язок випадку тимчасової непрацездатності з професійною діяльністю пацієнта, причина непрацездатності «Тимчасова непрацездатність внаслідок захворювання або травми, що не пов’язані з нещасним випадком на виробництві» може бути змінена Фондом соціального страхування України після завершення розслідування нещасного випадку або професійного захворювання, проведеного відповідно до Порядку розслідування та обліку нещасних випадків, професійних захворювань та аварій на виробництві, затвердженого постановою Кабінету Міністрів України від 17</w:t>
      </w:r>
      <w:r>
        <w:rPr>
          <w:rFonts w:ascii="Times New Roman" w:hAnsi="Times New Roman" w:cs="Times New Roman"/>
          <w:i/>
          <w:color w:val="000000"/>
          <w:sz w:val="28"/>
          <w:szCs w:val="28"/>
        </w:rPr>
        <w:t>.04.</w:t>
      </w:r>
      <w:r w:rsidRPr="00FA0C84">
        <w:rPr>
          <w:rFonts w:ascii="Times New Roman" w:hAnsi="Times New Roman" w:cs="Times New Roman"/>
          <w:i/>
          <w:color w:val="000000"/>
          <w:sz w:val="28"/>
          <w:szCs w:val="28"/>
        </w:rPr>
        <w:t>2019 № 337 (зі змінами), на підставі актів розслідування нещасного випадку або професійного захворювання на причини:</w:t>
      </w:r>
    </w:p>
    <w:p w:rsidR="00FA0C84" w:rsidRPr="00FA0C84" w:rsidRDefault="00152119" w:rsidP="00FA0C84">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 xml:space="preserve">Тимчасова непрацездатність внаслідок професійного захворювання» </w:t>
      </w:r>
    </w:p>
    <w:p w:rsidR="00C254AE" w:rsidRPr="00FA0C84" w:rsidRDefault="00152119" w:rsidP="00FA0C84">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bookmarkStart w:id="1" w:name="_GoBack"/>
      <w:bookmarkEnd w:id="1"/>
      <w:r w:rsidR="00FA0C84" w:rsidRPr="00FA0C84">
        <w:rPr>
          <w:rFonts w:ascii="Times New Roman" w:hAnsi="Times New Roman" w:cs="Times New Roman"/>
          <w:i/>
          <w:color w:val="000000"/>
          <w:sz w:val="28"/>
          <w:szCs w:val="28"/>
        </w:rPr>
        <w:t>Тимчасова непрацездатність внаслідок не</w:t>
      </w:r>
      <w:r w:rsidR="00FA0C84">
        <w:rPr>
          <w:rFonts w:ascii="Times New Roman" w:hAnsi="Times New Roman" w:cs="Times New Roman"/>
          <w:i/>
          <w:color w:val="000000"/>
          <w:sz w:val="28"/>
          <w:szCs w:val="28"/>
        </w:rPr>
        <w:t>щасного випадку на виробництві».</w:t>
      </w:r>
    </w:p>
    <w:sectPr w:rsidR="00C254AE" w:rsidRPr="00FA0C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BB"/>
    <w:rsid w:val="00152119"/>
    <w:rsid w:val="0025364D"/>
    <w:rsid w:val="003F7D5F"/>
    <w:rsid w:val="007C2278"/>
    <w:rsid w:val="00A36181"/>
    <w:rsid w:val="00C254AE"/>
    <w:rsid w:val="00CE54E0"/>
    <w:rsid w:val="00E92A4D"/>
    <w:rsid w:val="00EE7ABB"/>
    <w:rsid w:val="00F4353F"/>
    <w:rsid w:val="00FA0C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F7D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25364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F7D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25364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6336">
      <w:bodyDiv w:val="1"/>
      <w:marLeft w:val="0"/>
      <w:marRight w:val="0"/>
      <w:marTop w:val="0"/>
      <w:marBottom w:val="0"/>
      <w:divBdr>
        <w:top w:val="none" w:sz="0" w:space="0" w:color="auto"/>
        <w:left w:val="none" w:sz="0" w:space="0" w:color="auto"/>
        <w:bottom w:val="none" w:sz="0" w:space="0" w:color="auto"/>
        <w:right w:val="none" w:sz="0" w:space="0" w:color="auto"/>
      </w:divBdr>
    </w:div>
    <w:div w:id="854223474">
      <w:bodyDiv w:val="1"/>
      <w:marLeft w:val="0"/>
      <w:marRight w:val="0"/>
      <w:marTop w:val="0"/>
      <w:marBottom w:val="0"/>
      <w:divBdr>
        <w:top w:val="none" w:sz="0" w:space="0" w:color="auto"/>
        <w:left w:val="none" w:sz="0" w:space="0" w:color="auto"/>
        <w:bottom w:val="none" w:sz="0" w:space="0" w:color="auto"/>
        <w:right w:val="none" w:sz="0" w:space="0" w:color="auto"/>
      </w:divBdr>
    </w:div>
    <w:div w:id="1174802799">
      <w:bodyDiv w:val="1"/>
      <w:marLeft w:val="0"/>
      <w:marRight w:val="0"/>
      <w:marTop w:val="0"/>
      <w:marBottom w:val="0"/>
      <w:divBdr>
        <w:top w:val="none" w:sz="0" w:space="0" w:color="auto"/>
        <w:left w:val="none" w:sz="0" w:space="0" w:color="auto"/>
        <w:bottom w:val="none" w:sz="0" w:space="0" w:color="auto"/>
        <w:right w:val="none" w:sz="0" w:space="0" w:color="auto"/>
      </w:divBdr>
    </w:div>
    <w:div w:id="16775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4169</Words>
  <Characters>2377</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Олександрівна Харченко</dc:creator>
  <cp:keywords/>
  <dc:description/>
  <cp:lastModifiedBy>Оксана В. Мафтуляк</cp:lastModifiedBy>
  <cp:revision>6</cp:revision>
  <dcterms:created xsi:type="dcterms:W3CDTF">2021-05-31T12:02:00Z</dcterms:created>
  <dcterms:modified xsi:type="dcterms:W3CDTF">2021-06-07T09:28:00Z</dcterms:modified>
</cp:coreProperties>
</file>