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E2" w:rsidRDefault="002828E2" w:rsidP="00282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Роз’яснення для застрахованих осіб щодо поетапного впровадження електронної форми листків непрацездатності</w:t>
      </w:r>
    </w:p>
    <w:p w:rsidR="002828E2" w:rsidRDefault="002828E2" w:rsidP="002828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0B9" w:rsidRPr="00F651AF" w:rsidRDefault="00E450B9" w:rsidP="00282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AF">
        <w:rPr>
          <w:rFonts w:ascii="Times New Roman" w:hAnsi="Times New Roman" w:cs="Times New Roman"/>
          <w:b/>
          <w:sz w:val="28"/>
          <w:szCs w:val="28"/>
        </w:rPr>
        <w:t>До відома застрахованих осіб!</w:t>
      </w:r>
    </w:p>
    <w:p w:rsidR="00E450B9" w:rsidRPr="00F651AF" w:rsidRDefault="00E450B9" w:rsidP="0065281C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51AF">
        <w:rPr>
          <w:sz w:val="28"/>
          <w:szCs w:val="28"/>
        </w:rPr>
        <w:t xml:space="preserve">Доводимо до вашого відома, що набув чинності наказ Міністерства охорони здоров’я </w:t>
      </w:r>
      <w:r w:rsidR="002828E2">
        <w:rPr>
          <w:sz w:val="28"/>
          <w:szCs w:val="28"/>
        </w:rPr>
        <w:t xml:space="preserve">України </w:t>
      </w:r>
      <w:r w:rsidR="001857CE">
        <w:rPr>
          <w:sz w:val="28"/>
          <w:szCs w:val="28"/>
        </w:rPr>
        <w:t>від 0</w:t>
      </w:r>
      <w:r w:rsidR="00ED39B5">
        <w:rPr>
          <w:sz w:val="28"/>
          <w:szCs w:val="28"/>
        </w:rPr>
        <w:t>1</w:t>
      </w:r>
      <w:r w:rsidR="001857CE">
        <w:rPr>
          <w:sz w:val="28"/>
          <w:szCs w:val="28"/>
        </w:rPr>
        <w:t>.06.2021 №</w:t>
      </w:r>
      <w:r w:rsidR="001857CE" w:rsidRPr="00AC6CDE">
        <w:rPr>
          <w:color w:val="000000"/>
          <w:sz w:val="28"/>
          <w:szCs w:val="28"/>
        </w:rPr>
        <w:t> </w:t>
      </w:r>
      <w:r w:rsidR="00ED39B5">
        <w:rPr>
          <w:color w:val="000000"/>
          <w:sz w:val="28"/>
          <w:szCs w:val="28"/>
        </w:rPr>
        <w:t>1066</w:t>
      </w:r>
      <w:r w:rsidRPr="00F651AF">
        <w:rPr>
          <w:sz w:val="28"/>
          <w:szCs w:val="28"/>
        </w:rPr>
        <w:t xml:space="preserve"> «</w:t>
      </w:r>
      <w:r w:rsidRPr="00F651AF">
        <w:rPr>
          <w:bCs/>
          <w:color w:val="000000"/>
          <w:sz w:val="28"/>
          <w:szCs w:val="28"/>
        </w:rPr>
        <w:t xml:space="preserve">Деякі питання формування медичних висновків про тимчасову непрацездатність та проведення їхньої перевірки», яким затверджено, серед іншого, </w:t>
      </w:r>
      <w:r w:rsidRPr="00F651AF">
        <w:rPr>
          <w:color w:val="000000"/>
          <w:sz w:val="28"/>
          <w:szCs w:val="28"/>
        </w:rPr>
        <w:t>Порядок формування медичних висновків про тимчасову непрацездатність в Реєстрі медичних висновків в електронній системі охорони здоров’я та Інструкцію по роботі з медичними висновками про тимчасову непрацездатність в Реєстрі медичних висновків в електронній системі охорони здоров’я та листками непрацездатності на період дії перехідної моделі.</w:t>
      </w:r>
    </w:p>
    <w:p w:rsidR="0065281C" w:rsidRPr="0065281C" w:rsidRDefault="00E450B9" w:rsidP="0065281C">
      <w:pPr>
        <w:pStyle w:val="a3"/>
        <w:spacing w:before="120" w:beforeAutospacing="0" w:after="0" w:afterAutospacing="0"/>
        <w:ind w:firstLine="709"/>
        <w:jc w:val="both"/>
        <w:textDirection w:val="btLr"/>
        <w:rPr>
          <w:color w:val="000000"/>
          <w:sz w:val="28"/>
          <w:szCs w:val="28"/>
        </w:rPr>
      </w:pPr>
      <w:r w:rsidRPr="0065281C">
        <w:rPr>
          <w:color w:val="000000"/>
          <w:sz w:val="28"/>
          <w:szCs w:val="28"/>
        </w:rPr>
        <w:t xml:space="preserve">Крім того, цим наказом запроваджено </w:t>
      </w:r>
      <w:r w:rsidRPr="00F651AF">
        <w:rPr>
          <w:color w:val="000000"/>
          <w:sz w:val="28"/>
          <w:szCs w:val="28"/>
        </w:rPr>
        <w:t>перехідну модель роботи з медичними висновками про тимчасову непрацездатність в Реєстрі медичних висновків в електронній системі охорони здоров’я та листками непрацездатності.</w:t>
      </w:r>
      <w:r w:rsidR="0065281C">
        <w:rPr>
          <w:color w:val="000000"/>
          <w:sz w:val="28"/>
          <w:szCs w:val="28"/>
        </w:rPr>
        <w:t xml:space="preserve"> Перехідний</w:t>
      </w:r>
      <w:r w:rsidR="0065281C" w:rsidRPr="0065281C">
        <w:rPr>
          <w:color w:val="000000"/>
          <w:sz w:val="28"/>
          <w:szCs w:val="28"/>
        </w:rPr>
        <w:t xml:space="preserve"> період буде тривати з </w:t>
      </w:r>
      <w:r w:rsidR="0065281C">
        <w:rPr>
          <w:color w:val="000000"/>
          <w:sz w:val="28"/>
          <w:szCs w:val="28"/>
        </w:rPr>
        <w:t>0</w:t>
      </w:r>
      <w:r w:rsidR="0065281C" w:rsidRPr="0065281C">
        <w:rPr>
          <w:color w:val="000000"/>
          <w:sz w:val="28"/>
          <w:szCs w:val="28"/>
        </w:rPr>
        <w:t>1 червня до 31</w:t>
      </w:r>
      <w:r w:rsidR="0065281C">
        <w:rPr>
          <w:color w:val="000000"/>
          <w:sz w:val="28"/>
          <w:szCs w:val="28"/>
        </w:rPr>
        <w:t xml:space="preserve"> </w:t>
      </w:r>
      <w:r w:rsidR="0065281C" w:rsidRPr="0065281C">
        <w:rPr>
          <w:color w:val="000000"/>
          <w:sz w:val="28"/>
          <w:szCs w:val="28"/>
        </w:rPr>
        <w:t xml:space="preserve">серпня 2021 року. </w:t>
      </w:r>
    </w:p>
    <w:p w:rsidR="00E450B9" w:rsidRDefault="00E450B9" w:rsidP="0065281C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51AF">
        <w:rPr>
          <w:color w:val="000000"/>
          <w:sz w:val="28"/>
          <w:szCs w:val="28"/>
        </w:rPr>
        <w:t xml:space="preserve">Таким чином, </w:t>
      </w:r>
      <w:r w:rsidR="00BB05B7">
        <w:rPr>
          <w:color w:val="000000"/>
          <w:sz w:val="28"/>
          <w:szCs w:val="28"/>
        </w:rPr>
        <w:t>вже в</w:t>
      </w:r>
      <w:r w:rsidRPr="00F651AF">
        <w:rPr>
          <w:color w:val="000000"/>
          <w:sz w:val="28"/>
          <w:szCs w:val="28"/>
        </w:rPr>
        <w:t xml:space="preserve"> червн</w:t>
      </w:r>
      <w:r w:rsidR="00BB05B7">
        <w:rPr>
          <w:color w:val="000000"/>
          <w:sz w:val="28"/>
          <w:szCs w:val="28"/>
        </w:rPr>
        <w:t>і</w:t>
      </w:r>
      <w:r w:rsidRPr="00F651AF">
        <w:rPr>
          <w:color w:val="000000"/>
          <w:sz w:val="28"/>
          <w:szCs w:val="28"/>
        </w:rPr>
        <w:t xml:space="preserve"> 2021 року деякі заклади охорони здоров’я почнуть роботу із формування та внесення медичних висновків про тимчасову непрацездатність до Реєстру медичних висновків в електронній системі охорони здоров’я відповідно до Порядку формування медичних висновків про тимчасову непрацездатність. </w:t>
      </w:r>
    </w:p>
    <w:p w:rsidR="0065281C" w:rsidRDefault="0065281C" w:rsidP="0065281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Це означає, що пацієнту, залежно від технічної можливості закладу, лікуючий лікар, який вже працює в медичній інформаційній системі та вносить відомості до електронної системи охорони здоров’я, може сформувати медичний висновок про тимчасову непрацездатність з подальшою трансформацією його в е-лікарняний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(</w:t>
      </w:r>
      <w:r w:rsidRPr="0017187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електронний документ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</w:t>
      </w:r>
      <w:r w:rsidRPr="0017187F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що формується в Електронному реєстрі листків непрацездатності Пенсійного фонду України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)</w:t>
      </w: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або видати паперовий листок непрацездатності. </w:t>
      </w:r>
    </w:p>
    <w:p w:rsidR="0065281C" w:rsidRDefault="0065281C" w:rsidP="0065281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454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Під час перехідного періоду обидва види документів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(сформова</w:t>
      </w: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ний е-лікарняний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</w:t>
      </w:r>
      <w:r w:rsidRPr="004454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паперовий листок непрацездатності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)</w:t>
      </w: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 w:rsidRPr="004454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є підтвердженням встановленого факту тимчасової непрацездатності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працівника, </w:t>
      </w:r>
      <w:r w:rsidRPr="004454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підставою </w:t>
      </w: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для звільнення йо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го</w:t>
      </w: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від роботи та </w:t>
      </w:r>
      <w:r w:rsidRPr="004454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для </w:t>
      </w: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надання допомоги по тимчасовій непрацездатності, як за рахунок коштів роботодавця, так і за рахунок коштів Фонду.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</w:p>
    <w:p w:rsidR="00E450B9" w:rsidRPr="00F651AF" w:rsidRDefault="00E450B9" w:rsidP="0065281C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51AF">
        <w:rPr>
          <w:color w:val="000000"/>
          <w:sz w:val="28"/>
          <w:szCs w:val="28"/>
        </w:rPr>
        <w:t>Нагадуємо, що відповідно до постанови Кабінету Міністрів України від 17</w:t>
      </w:r>
      <w:r w:rsidR="002828E2">
        <w:rPr>
          <w:color w:val="000000"/>
          <w:sz w:val="28"/>
          <w:szCs w:val="28"/>
        </w:rPr>
        <w:t>.04.</w:t>
      </w:r>
      <w:r w:rsidRPr="00F651AF">
        <w:rPr>
          <w:color w:val="000000"/>
          <w:sz w:val="28"/>
          <w:szCs w:val="28"/>
        </w:rPr>
        <w:t>2019 №</w:t>
      </w:r>
      <w:r w:rsidR="002828E2" w:rsidRPr="00AC6CDE">
        <w:rPr>
          <w:color w:val="000000"/>
          <w:sz w:val="28"/>
          <w:szCs w:val="28"/>
        </w:rPr>
        <w:t> </w:t>
      </w:r>
      <w:r w:rsidRPr="00F651AF">
        <w:rPr>
          <w:color w:val="000000"/>
          <w:sz w:val="28"/>
          <w:szCs w:val="28"/>
        </w:rPr>
        <w:t>328 затверджено Порядок організації ведення Електронного реєстру листків непрацездатності та надання інформації з нього.</w:t>
      </w:r>
      <w:r w:rsidRPr="00F651AF">
        <w:rPr>
          <w:color w:val="333333"/>
          <w:sz w:val="28"/>
          <w:szCs w:val="28"/>
          <w:shd w:val="clear" w:color="auto" w:fill="FFFFFF"/>
        </w:rPr>
        <w:t xml:space="preserve"> </w:t>
      </w:r>
      <w:r w:rsidRPr="00F651AF">
        <w:rPr>
          <w:color w:val="000000"/>
          <w:sz w:val="28"/>
          <w:szCs w:val="28"/>
        </w:rPr>
        <w:t>Реєстр формує та веде Пенсійний фонд України, який є володільцем інформації, що міститься в ньому.</w:t>
      </w:r>
    </w:p>
    <w:p w:rsidR="00E450B9" w:rsidRPr="00F651AF" w:rsidRDefault="00E450B9" w:rsidP="0065281C">
      <w:pPr>
        <w:pStyle w:val="a3"/>
        <w:spacing w:before="12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651AF">
        <w:rPr>
          <w:color w:val="000000"/>
          <w:sz w:val="28"/>
          <w:szCs w:val="28"/>
        </w:rPr>
        <w:t xml:space="preserve">Так, згідно </w:t>
      </w:r>
      <w:r w:rsidR="00CF3DF1">
        <w:rPr>
          <w:color w:val="000000"/>
          <w:sz w:val="28"/>
          <w:szCs w:val="28"/>
        </w:rPr>
        <w:t xml:space="preserve">з </w:t>
      </w:r>
      <w:r w:rsidRPr="00F651AF">
        <w:rPr>
          <w:color w:val="000000"/>
          <w:sz w:val="28"/>
          <w:szCs w:val="28"/>
        </w:rPr>
        <w:t>ц</w:t>
      </w:r>
      <w:r w:rsidR="00CF3DF1">
        <w:rPr>
          <w:color w:val="000000"/>
          <w:sz w:val="28"/>
          <w:szCs w:val="28"/>
        </w:rPr>
        <w:t>им</w:t>
      </w:r>
      <w:r w:rsidRPr="00F651AF">
        <w:rPr>
          <w:color w:val="000000"/>
          <w:sz w:val="28"/>
          <w:szCs w:val="28"/>
        </w:rPr>
        <w:t xml:space="preserve"> Порядк</w:t>
      </w:r>
      <w:r w:rsidR="00CF3DF1">
        <w:rPr>
          <w:color w:val="000000"/>
          <w:sz w:val="28"/>
          <w:szCs w:val="28"/>
        </w:rPr>
        <w:t>ом</w:t>
      </w:r>
      <w:r w:rsidRPr="00F651AF">
        <w:rPr>
          <w:color w:val="000000"/>
          <w:sz w:val="28"/>
          <w:szCs w:val="28"/>
        </w:rPr>
        <w:t xml:space="preserve"> </w:t>
      </w:r>
      <w:r w:rsidRPr="002828E2">
        <w:rPr>
          <w:b/>
          <w:color w:val="000000"/>
          <w:sz w:val="28"/>
          <w:szCs w:val="28"/>
        </w:rPr>
        <w:t>листок непрацездатності</w:t>
      </w:r>
      <w:r w:rsidRPr="00F651AF">
        <w:rPr>
          <w:color w:val="000000"/>
          <w:sz w:val="28"/>
          <w:szCs w:val="28"/>
        </w:rPr>
        <w:t xml:space="preserve"> – це сформований (виданий) програмними засобами Реєстру на підставі медичного висновку про тимчасову непрацездатність або документа, що засвідчує факт усиновлення дитини, і зареєстрований за єдиним реєстраційним номером листка непрацездатності у Реєстрі електронний </w:t>
      </w:r>
      <w:r w:rsidRPr="00F651AF">
        <w:rPr>
          <w:color w:val="000000"/>
          <w:sz w:val="28"/>
          <w:szCs w:val="28"/>
        </w:rPr>
        <w:lastRenderedPageBreak/>
        <w:t xml:space="preserve">документ, </w:t>
      </w:r>
      <w:r w:rsidRPr="00F651AF">
        <w:rPr>
          <w:b/>
          <w:color w:val="000000"/>
          <w:sz w:val="28"/>
          <w:szCs w:val="28"/>
        </w:rPr>
        <w:t>що є підставою для звільнення від роботи, оплати перших п’яти днів тимчасової непрацездатності, призначення матеріального забезпечення та надання соціальних послуг відповідно до законодавства про загальнообов’язкове державне соціальне страхування.</w:t>
      </w:r>
    </w:p>
    <w:p w:rsidR="00E450B9" w:rsidRDefault="00E450B9" w:rsidP="0065281C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51AF">
        <w:rPr>
          <w:color w:val="000000"/>
          <w:sz w:val="28"/>
          <w:szCs w:val="28"/>
        </w:rPr>
        <w:t xml:space="preserve">Таким чином, на підставі медичного висновку (медичних висновків) про тимчасову непрацездатність в Електронному реєстрі листків непрацездатності формуватиметься листок непрацездатності у разі ідентифікації пацієнта як застрахованої особи в реєстрі застрахованих осіб державного реєстру загальнообов’язкового державного соціального страхування. </w:t>
      </w:r>
    </w:p>
    <w:p w:rsidR="0065281C" w:rsidRPr="00445F11" w:rsidRDefault="0065281C" w:rsidP="0065281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Для працівника та роботодавця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с</w:t>
      </w: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формований е-лікарняний стає доступним для перегляду у день його створення у відповідних кабінетах на </w:t>
      </w:r>
      <w:proofErr w:type="spellStart"/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вебпорталі</w:t>
      </w:r>
      <w:proofErr w:type="spellEnd"/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електронних послуг Пенсійного фонду України.</w:t>
      </w:r>
    </w:p>
    <w:p w:rsidR="0065281C" w:rsidRPr="00445F11" w:rsidRDefault="0065281C" w:rsidP="0065281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При цьому працівнику не потрібно роздруковувати е-лікарняний та надавати роботодавцю будь-яких паперових підтверджень про тимчасову непрацездатність. Достатньо лише повідомити у будь-який доступний спосіб комунікаці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ї</w:t>
      </w: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роботодавця про факт формування лікуючим лікарем медичного висновку про тимчасову непрацездатність.</w:t>
      </w:r>
    </w:p>
    <w:p w:rsidR="0065281C" w:rsidRDefault="0065281C" w:rsidP="0065281C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Інформацію по своїх листках непрацездатності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(номер, </w:t>
      </w: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дата відкриття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, </w:t>
      </w: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дата закриття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, </w:t>
      </w: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причина непрацездатності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) </w:t>
      </w: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працівник може отримати у пункті меню особистого кабінету громадянина «Мої листки непрацездатності»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</w:t>
      </w: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</w:p>
    <w:p w:rsidR="00E450B9" w:rsidRPr="00F651AF" w:rsidRDefault="00E450B9" w:rsidP="0065281C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51AF">
        <w:rPr>
          <w:color w:val="000000"/>
          <w:sz w:val="28"/>
          <w:szCs w:val="28"/>
        </w:rPr>
        <w:t>Враховуючи вищевикладене, листок непрацездатності, що формується у Електронному реєстрі листків непрацездатності, є такою ж підставою для звільнення від роботи, оплати перших п’яти днів тимчасової непрацездатності, призначення матеріального забезпечення та надання соціальних послуг відповідно до законодавства про загальнообов’язкове державне соціальне страхування, як і його паперова версія.</w:t>
      </w:r>
    </w:p>
    <w:p w:rsidR="00E450B9" w:rsidRPr="00F651AF" w:rsidRDefault="00E450B9" w:rsidP="0065281C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51AF">
        <w:rPr>
          <w:color w:val="000000"/>
          <w:sz w:val="28"/>
          <w:szCs w:val="28"/>
        </w:rPr>
        <w:t>На період перехідної моделі, з 0</w:t>
      </w:r>
      <w:r w:rsidR="00BB05B7">
        <w:rPr>
          <w:color w:val="000000"/>
          <w:sz w:val="28"/>
          <w:szCs w:val="28"/>
        </w:rPr>
        <w:t>4</w:t>
      </w:r>
      <w:r w:rsidRPr="00F651AF">
        <w:rPr>
          <w:color w:val="000000"/>
          <w:sz w:val="28"/>
          <w:szCs w:val="28"/>
        </w:rPr>
        <w:t xml:space="preserve"> червня до 01 вересня 2021 року, лікарі закладів охорони здоров’я матимуть право видавати паперові листки непрацездатності, а також формувати медичні висновки про тимчасову непрацездатність з подальшою трансформацією їх у е-лікарняний.</w:t>
      </w:r>
    </w:p>
    <w:p w:rsidR="00E450B9" w:rsidRPr="00F651AF" w:rsidRDefault="00E450B9" w:rsidP="0065281C">
      <w:pPr>
        <w:pStyle w:val="a3"/>
        <w:spacing w:before="12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651AF">
        <w:rPr>
          <w:b/>
          <w:color w:val="000000"/>
          <w:sz w:val="28"/>
          <w:szCs w:val="28"/>
        </w:rPr>
        <w:t>!!! Звертаємо увагу, що отримання е-лікарняного не впливає на процедуру призначення, розрахунку та виплати матеріального забезпечення.</w:t>
      </w:r>
    </w:p>
    <w:p w:rsidR="00E450B9" w:rsidRPr="00F651AF" w:rsidRDefault="00E450B9" w:rsidP="0065281C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51AF">
        <w:rPr>
          <w:color w:val="000000"/>
          <w:sz w:val="28"/>
          <w:szCs w:val="28"/>
        </w:rPr>
        <w:t xml:space="preserve">Особливості видачі листків непрацездатності та формування медичних висновків про тимчасову непрацездатність закріплені </w:t>
      </w:r>
      <w:r w:rsidRPr="002828E2">
        <w:rPr>
          <w:color w:val="000000"/>
          <w:sz w:val="28"/>
          <w:szCs w:val="28"/>
        </w:rPr>
        <w:t>в І</w:t>
      </w:r>
      <w:r w:rsidRPr="00F651AF">
        <w:rPr>
          <w:color w:val="000000"/>
          <w:sz w:val="28"/>
          <w:szCs w:val="28"/>
        </w:rPr>
        <w:t>нструкції по роботі з медичними висновками про тимчасову непрацездатність в Реєстрі медичних висновків в електронній системі охорони здоров’я та листками непрацездатності на період дії перехідної моделі.</w:t>
      </w:r>
    </w:p>
    <w:p w:rsidR="00E450B9" w:rsidRPr="00F651AF" w:rsidRDefault="00E450B9" w:rsidP="0065281C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F651AF">
        <w:rPr>
          <w:color w:val="000000"/>
          <w:sz w:val="28"/>
          <w:szCs w:val="28"/>
        </w:rPr>
        <w:t xml:space="preserve">Так, цією Інструкцією установлено, що якщо листок непрацездатності відкривається за паперовою формою, </w:t>
      </w:r>
      <w:r w:rsidRPr="00F651AF">
        <w:rPr>
          <w:color w:val="000000"/>
          <w:sz w:val="28"/>
          <w:szCs w:val="28"/>
          <w:u w:val="single"/>
        </w:rPr>
        <w:t>за одним випадком тимчасової непрацездатності, то його продовження аж до повного закриття</w:t>
      </w:r>
      <w:r w:rsidRPr="00F651AF">
        <w:rPr>
          <w:color w:val="000000"/>
          <w:sz w:val="28"/>
          <w:szCs w:val="28"/>
        </w:rPr>
        <w:t xml:space="preserve"> незалежно від того, у якого суб’єкта господарювання продовжує лікування пацієнт, </w:t>
      </w:r>
      <w:r w:rsidRPr="00F651AF">
        <w:rPr>
          <w:color w:val="000000"/>
          <w:sz w:val="28"/>
          <w:szCs w:val="28"/>
          <w:u w:val="single"/>
        </w:rPr>
        <w:t>відбувається виключно в паперовій формі</w:t>
      </w:r>
      <w:r w:rsidRPr="00F651AF">
        <w:rPr>
          <w:color w:val="000000"/>
          <w:sz w:val="28"/>
          <w:szCs w:val="28"/>
        </w:rPr>
        <w:t xml:space="preserve">, навіть якщо суб’єкт господарювання протягом періоду непрацездатності особи, у якої є відкритий </w:t>
      </w:r>
      <w:r w:rsidRPr="00F651AF">
        <w:rPr>
          <w:color w:val="000000"/>
          <w:sz w:val="28"/>
          <w:szCs w:val="28"/>
        </w:rPr>
        <w:lastRenderedPageBreak/>
        <w:t>листок непрацездатності, перейшов на формування медичних висновків у Реєстрі.</w:t>
      </w:r>
    </w:p>
    <w:p w:rsidR="00F651AF" w:rsidRPr="00F651AF" w:rsidRDefault="00E450B9" w:rsidP="0065281C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51AF">
        <w:rPr>
          <w:color w:val="000000"/>
          <w:sz w:val="28"/>
          <w:szCs w:val="28"/>
        </w:rPr>
        <w:t xml:space="preserve">У разі якщо особі, у якої відкритий паперовий листок непрацездатності, працівник суб’єкта господарювання встановлює факт тимчасової непрацездатності </w:t>
      </w:r>
      <w:r w:rsidRPr="00F651AF">
        <w:rPr>
          <w:color w:val="000000"/>
          <w:sz w:val="28"/>
          <w:szCs w:val="28"/>
          <w:u w:val="single"/>
        </w:rPr>
        <w:t>за новим випадком тимчасової непрацездатності</w:t>
      </w:r>
      <w:r w:rsidRPr="00F651AF">
        <w:rPr>
          <w:color w:val="000000"/>
          <w:sz w:val="28"/>
          <w:szCs w:val="28"/>
        </w:rPr>
        <w:t xml:space="preserve"> і в цей період у суб’єкта господарювання наявна технічна можливість формування медичних висновків у Реєстрі, то </w:t>
      </w:r>
      <w:r w:rsidRPr="00F651AF">
        <w:rPr>
          <w:color w:val="000000"/>
          <w:sz w:val="28"/>
          <w:szCs w:val="28"/>
          <w:u w:val="single"/>
        </w:rPr>
        <w:t>лікуючий лікар суб’єкта господарювання за новим випадком тимчасової непрацездатності формує медичний висновок у Реєстрі</w:t>
      </w:r>
      <w:r w:rsidRPr="00F651AF">
        <w:rPr>
          <w:color w:val="000000"/>
          <w:sz w:val="28"/>
          <w:szCs w:val="28"/>
        </w:rPr>
        <w:t xml:space="preserve">, тобто з подальшим формуванням е-лікарняного. </w:t>
      </w:r>
    </w:p>
    <w:p w:rsidR="00F651AF" w:rsidRPr="00F651AF" w:rsidRDefault="00F651AF" w:rsidP="0065281C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F651AF">
        <w:rPr>
          <w:color w:val="000000"/>
          <w:sz w:val="28"/>
          <w:szCs w:val="28"/>
        </w:rPr>
        <w:t xml:space="preserve">У разі якщо під час дії перехідної моделі особа, у якої сформовано медичний висновок у Реєстрі в одного суб’єкта господарювання, звернулася для проходження обстеження, консультації, доліковування, проходження реабілітації тощо до іншого суб’єкта господарювання, у якого ще відсутня технічна можливість формування медичних висновків у Реєстрі, </w:t>
      </w:r>
      <w:r w:rsidRPr="00F651AF">
        <w:rPr>
          <w:color w:val="000000"/>
          <w:sz w:val="28"/>
          <w:szCs w:val="28"/>
          <w:u w:val="single"/>
        </w:rPr>
        <w:t>то для такої особи відкривається паперовий листок непрацездатності як новий випадок тимчасової непрацездатності.</w:t>
      </w:r>
    </w:p>
    <w:p w:rsidR="00F651AF" w:rsidRPr="00F651AF" w:rsidRDefault="00F651AF" w:rsidP="0065281C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51AF">
        <w:rPr>
          <w:color w:val="000000"/>
          <w:sz w:val="28"/>
          <w:szCs w:val="28"/>
        </w:rPr>
        <w:t>Нагадуємо, що оплата перших п’яти днів тимчасової непрацездатності внаслідок захворювання або травми, не пов’язаної з нещасним випадком на виробництві, здійснюється за рахунок коштів роботодавця у</w:t>
      </w:r>
      <w:r w:rsidR="002F0F04">
        <w:rPr>
          <w:color w:val="000000"/>
          <w:sz w:val="28"/>
          <w:szCs w:val="28"/>
        </w:rPr>
        <w:t xml:space="preserve"> </w:t>
      </w:r>
      <w:hyperlink r:id="rId5" w:anchor="n9" w:tgtFrame="_blank" w:history="1">
        <w:r w:rsidRPr="00F651AF">
          <w:rPr>
            <w:color w:val="000000"/>
            <w:sz w:val="28"/>
            <w:szCs w:val="28"/>
          </w:rPr>
          <w:t>порядку</w:t>
        </w:r>
      </w:hyperlink>
      <w:r w:rsidRPr="00F651AF">
        <w:rPr>
          <w:color w:val="000000"/>
          <w:sz w:val="28"/>
          <w:szCs w:val="28"/>
        </w:rPr>
        <w:t>, встановленому Кабінетом Міністрів України.</w:t>
      </w:r>
    </w:p>
    <w:p w:rsidR="00E450B9" w:rsidRDefault="00F651AF" w:rsidP="0065281C">
      <w:pPr>
        <w:pStyle w:val="a3"/>
        <w:spacing w:before="12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F651AF">
        <w:rPr>
          <w:b/>
          <w:color w:val="000000"/>
          <w:sz w:val="28"/>
          <w:szCs w:val="28"/>
        </w:rPr>
        <w:t>Випадки тимчасової непрацездатності</w:t>
      </w:r>
      <w:r w:rsidR="00F50156">
        <w:rPr>
          <w:b/>
          <w:color w:val="000000"/>
          <w:sz w:val="28"/>
          <w:szCs w:val="28"/>
        </w:rPr>
        <w:t>,</w:t>
      </w:r>
      <w:r w:rsidRPr="00F651AF">
        <w:rPr>
          <w:b/>
          <w:color w:val="000000"/>
          <w:sz w:val="28"/>
          <w:szCs w:val="28"/>
        </w:rPr>
        <w:t xml:space="preserve"> оформлені паперовим листком непрацездатності та е-лікарняним</w:t>
      </w:r>
      <w:r w:rsidR="00F50156">
        <w:rPr>
          <w:b/>
          <w:color w:val="000000"/>
          <w:sz w:val="28"/>
          <w:szCs w:val="28"/>
        </w:rPr>
        <w:t>,</w:t>
      </w:r>
      <w:bookmarkStart w:id="0" w:name="_GoBack"/>
      <w:bookmarkEnd w:id="0"/>
      <w:r w:rsidRPr="00F651AF">
        <w:rPr>
          <w:b/>
          <w:color w:val="000000"/>
          <w:sz w:val="28"/>
          <w:szCs w:val="28"/>
        </w:rPr>
        <w:t xml:space="preserve"> є</w:t>
      </w:r>
      <w:r w:rsidR="00E450B9" w:rsidRPr="00F651AF">
        <w:rPr>
          <w:b/>
          <w:color w:val="000000"/>
          <w:sz w:val="28"/>
          <w:szCs w:val="28"/>
        </w:rPr>
        <w:t xml:space="preserve"> різними страховими випадками</w:t>
      </w:r>
      <w:r w:rsidRPr="00F651AF">
        <w:rPr>
          <w:b/>
          <w:color w:val="000000"/>
          <w:sz w:val="28"/>
          <w:szCs w:val="28"/>
        </w:rPr>
        <w:t>, незалежно від черговості їх отримання застрахованою особою, тому роботодавець відокремлює їх під час призначення матеріального забезпечення</w:t>
      </w:r>
      <w:r w:rsidR="00E450B9" w:rsidRPr="00F651AF">
        <w:rPr>
          <w:b/>
          <w:color w:val="000000"/>
          <w:sz w:val="28"/>
          <w:szCs w:val="28"/>
        </w:rPr>
        <w:t>.</w:t>
      </w:r>
    </w:p>
    <w:p w:rsidR="00016EF7" w:rsidRPr="00445F11" w:rsidRDefault="00016EF7" w:rsidP="00016EF7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0" w:line="240" w:lineRule="auto"/>
        <w:ind w:firstLineChars="201" w:firstLine="56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Додаткову інформацію щодо:</w:t>
      </w:r>
    </w:p>
    <w:p w:rsidR="00016EF7" w:rsidRPr="00445F11" w:rsidRDefault="00016EF7" w:rsidP="00016EF7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0" w:line="240" w:lineRule="auto"/>
        <w:ind w:firstLineChars="201" w:firstLine="56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 користування Електронним кабінетом роботодавця можна отримати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</w:t>
      </w: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зателефонувавши на гарячу лінію Пенсійного фонду України за номером: </w:t>
      </w:r>
      <w:r w:rsidR="003063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  </w:t>
      </w: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0</w:t>
      </w:r>
      <w:r w:rsidR="003063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</w:t>
      </w: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800</w:t>
      </w:r>
      <w:r w:rsidR="003063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-503-</w:t>
      </w: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753;</w:t>
      </w:r>
    </w:p>
    <w:p w:rsidR="00016EF7" w:rsidRPr="00445F11" w:rsidRDefault="00016EF7" w:rsidP="00016EF7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0" w:line="240" w:lineRule="auto"/>
        <w:ind w:firstLineChars="201" w:firstLine="56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 оплати е-лікарняних – зателефонувавши на гарячу лінію Фонду соціального страхування України за номером: 0</w:t>
      </w:r>
      <w:r w:rsidR="003063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</w:t>
      </w:r>
      <w:r w:rsidR="00BB05B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800</w:t>
      </w:r>
      <w:r w:rsidR="003063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</w:t>
      </w: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501</w:t>
      </w:r>
      <w:r w:rsidR="003063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-</w:t>
      </w: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892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</w:t>
      </w:r>
    </w:p>
    <w:p w:rsidR="00016EF7" w:rsidRPr="00F651AF" w:rsidRDefault="00016EF7" w:rsidP="00176463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0" w:line="240" w:lineRule="auto"/>
        <w:ind w:firstLineChars="201" w:firstLine="563"/>
        <w:jc w:val="both"/>
        <w:textDirection w:val="btLr"/>
        <w:textAlignment w:val="top"/>
        <w:outlineLvl w:val="0"/>
        <w:rPr>
          <w:b/>
          <w:color w:val="000000"/>
          <w:sz w:val="28"/>
          <w:szCs w:val="28"/>
        </w:rPr>
      </w:pP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Вже з 01 вересня цього року </w:t>
      </w:r>
      <w:r w:rsidRPr="004454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планується, що всі заклади охорони здоров’я перейдуть на формування медичних висновків про тимчасову непрацездатність.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Таким чином, </w:t>
      </w:r>
      <w:r w:rsidR="0012048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за</w:t>
      </w: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новим</w:t>
      </w:r>
      <w:r w:rsidR="0012048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</w:t>
      </w: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випадкам</w:t>
      </w:r>
      <w:r w:rsidR="0012048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</w:t>
      </w: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тимчасової непрацездатності</w:t>
      </w:r>
      <w:r w:rsidRPr="004454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лікуючий </w:t>
      </w: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лікар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буде </w:t>
      </w:r>
      <w:r w:rsidRPr="00445F11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формувати лише медичні висновки про тимчасову непрацездатність.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П</w:t>
      </w:r>
      <w:r w:rsidRPr="004454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аперові листки непрацездатності, які були видані до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0</w:t>
      </w:r>
      <w:r w:rsidRPr="004454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1 вересня 2021 року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,</w:t>
      </w:r>
      <w:r w:rsidRPr="004454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 будуть продовжуватися в паперовому вигляді до відновлення працездатності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працівника</w:t>
      </w:r>
      <w:r w:rsidRPr="004454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.</w:t>
      </w:r>
    </w:p>
    <w:sectPr w:rsidR="00016EF7" w:rsidRPr="00F651AF" w:rsidSect="002F0F04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B3"/>
    <w:rsid w:val="00016EF7"/>
    <w:rsid w:val="00120482"/>
    <w:rsid w:val="00176463"/>
    <w:rsid w:val="001857CE"/>
    <w:rsid w:val="002828E2"/>
    <w:rsid w:val="002F0F04"/>
    <w:rsid w:val="003063E4"/>
    <w:rsid w:val="0057420C"/>
    <w:rsid w:val="0065281C"/>
    <w:rsid w:val="007E60B3"/>
    <w:rsid w:val="00BB05B7"/>
    <w:rsid w:val="00C152FB"/>
    <w:rsid w:val="00CF3DF1"/>
    <w:rsid w:val="00E450B9"/>
    <w:rsid w:val="00ED39B5"/>
    <w:rsid w:val="00F50156"/>
    <w:rsid w:val="00F6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F651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F65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440-2015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5085</Words>
  <Characters>2900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Олександрівна Харченко</dc:creator>
  <cp:keywords/>
  <dc:description/>
  <cp:lastModifiedBy>Оксана В. Мафтуляк</cp:lastModifiedBy>
  <cp:revision>13</cp:revision>
  <dcterms:created xsi:type="dcterms:W3CDTF">2021-05-31T11:36:00Z</dcterms:created>
  <dcterms:modified xsi:type="dcterms:W3CDTF">2021-06-22T14:03:00Z</dcterms:modified>
</cp:coreProperties>
</file>